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295E" w14:textId="77777777" w:rsidR="008B6F59" w:rsidRDefault="008B6F59" w:rsidP="008B6F5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D36E877" w14:textId="04617E47" w:rsidR="008B6F59" w:rsidRDefault="008B6F59" w:rsidP="008B6F5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2F4F062F" wp14:editId="7B9A884E">
            <wp:extent cx="1133475" cy="1047750"/>
            <wp:effectExtent l="0" t="0" r="9525" b="0"/>
            <wp:docPr id="129060820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9FC09" w14:textId="77777777" w:rsidR="008B6F59" w:rsidRDefault="008B6F59" w:rsidP="008B6F5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EF6CB18" w14:textId="77777777" w:rsidR="008B6F59" w:rsidRPr="00AA7E0E" w:rsidRDefault="008B6F59" w:rsidP="008B6F5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AA7E0E">
        <w:rPr>
          <w:rFonts w:ascii="Times New Roman" w:hAnsi="Times New Roman" w:cs="Times New Roman"/>
          <w:sz w:val="24"/>
          <w:szCs w:val="24"/>
          <w:lang w:eastAsia="hr-HR"/>
        </w:rPr>
        <w:t>KLASA:</w:t>
      </w:r>
      <w:r>
        <w:rPr>
          <w:rFonts w:ascii="Times New Roman" w:hAnsi="Times New Roman" w:cs="Times New Roman"/>
          <w:sz w:val="24"/>
          <w:szCs w:val="24"/>
          <w:lang w:eastAsia="hr-HR"/>
        </w:rPr>
        <w:t>011-04/23-01/01</w:t>
      </w:r>
    </w:p>
    <w:p w14:paraId="5CDA5226" w14:textId="487B14A9" w:rsidR="008B6F59" w:rsidRPr="00AA7E0E" w:rsidRDefault="008B6F59" w:rsidP="008B6F5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AA7E0E">
        <w:rPr>
          <w:rFonts w:ascii="Times New Roman" w:hAnsi="Times New Roman" w:cs="Times New Roman"/>
          <w:sz w:val="24"/>
          <w:szCs w:val="24"/>
          <w:lang w:eastAsia="hr-HR"/>
        </w:rPr>
        <w:t>URBROJ:</w:t>
      </w:r>
      <w:r>
        <w:rPr>
          <w:rFonts w:ascii="Times New Roman" w:hAnsi="Times New Roman" w:cs="Times New Roman"/>
          <w:sz w:val="24"/>
          <w:szCs w:val="24"/>
          <w:lang w:eastAsia="hr-HR"/>
        </w:rPr>
        <w:t>2196-3-0</w:t>
      </w:r>
      <w:r>
        <w:rPr>
          <w:rFonts w:ascii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hAnsi="Times New Roman" w:cs="Times New Roman"/>
          <w:sz w:val="24"/>
          <w:szCs w:val="24"/>
          <w:lang w:eastAsia="hr-HR"/>
        </w:rPr>
        <w:t>-23-1</w:t>
      </w:r>
    </w:p>
    <w:p w14:paraId="3E8E7484" w14:textId="28BC6478" w:rsidR="008B6F59" w:rsidRPr="00AA7E0E" w:rsidRDefault="008B6F59" w:rsidP="008B6F5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7E0E">
        <w:rPr>
          <w:rFonts w:ascii="Times New Roman" w:hAnsi="Times New Roman" w:cs="Times New Roman"/>
          <w:sz w:val="24"/>
          <w:szCs w:val="24"/>
          <w:lang w:eastAsia="hr-HR"/>
        </w:rPr>
        <w:t>Otok,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hr-HR"/>
        </w:rPr>
        <w:t>listopada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AA7E0E">
        <w:rPr>
          <w:rFonts w:ascii="Times New Roman" w:hAnsi="Times New Roman" w:cs="Times New Roman"/>
          <w:sz w:val="24"/>
          <w:szCs w:val="24"/>
          <w:lang w:eastAsia="hr-HR"/>
        </w:rPr>
        <w:t>2023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godine</w:t>
      </w:r>
    </w:p>
    <w:p w14:paraId="7A18B754" w14:textId="54A2650E" w:rsidR="008B6F59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Ustanova Virovi, zastupana po v.d. ravnatelja Jeleni </w:t>
      </w:r>
      <w:proofErr w:type="spellStart"/>
      <w:r>
        <w:rPr>
          <w:rFonts w:ascii="Times New Roman" w:hAnsi="Times New Roman"/>
          <w:sz w:val="24"/>
          <w:szCs w:val="24"/>
        </w:rPr>
        <w:t>Ukić</w:t>
      </w:r>
      <w:proofErr w:type="spellEnd"/>
      <w:r>
        <w:rPr>
          <w:rFonts w:ascii="Times New Roman" w:hAnsi="Times New Roman"/>
          <w:sz w:val="24"/>
          <w:szCs w:val="24"/>
        </w:rPr>
        <w:t xml:space="preserve">, mag. </w:t>
      </w:r>
      <w:proofErr w:type="spellStart"/>
      <w:r>
        <w:rPr>
          <w:rFonts w:ascii="Times New Roman" w:hAnsi="Times New Roman"/>
          <w:sz w:val="24"/>
          <w:szCs w:val="24"/>
        </w:rPr>
        <w:t>iur</w:t>
      </w:r>
      <w:proofErr w:type="spellEnd"/>
      <w:r>
        <w:rPr>
          <w:rFonts w:ascii="Times New Roman" w:hAnsi="Times New Roman"/>
          <w:sz w:val="24"/>
          <w:szCs w:val="24"/>
        </w:rPr>
        <w:t xml:space="preserve">. Temeljem </w:t>
      </w: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članka 56. stavka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Zakon o proračunu </w:t>
      </w: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Narodne novine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</w:t>
      </w: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broj 144/21),</w:t>
      </w:r>
      <w:r w:rsidRPr="00B44379">
        <w:rPr>
          <w:rFonts w:ascii="Times New Roman" w:hAnsi="Times New Roman"/>
          <w:sz w:val="24"/>
          <w:szCs w:val="24"/>
        </w:rPr>
        <w:t xml:space="preserve"> </w:t>
      </w: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donosi</w:t>
      </w:r>
    </w:p>
    <w:p w14:paraId="21EEA339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13E0761" w14:textId="77777777" w:rsidR="008B6F59" w:rsidRDefault="008B6F59" w:rsidP="008B6F59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AA7E0E">
        <w:rPr>
          <w:rFonts w:ascii="Times New Roman" w:hAnsi="Times New Roman" w:cs="Times New Roman"/>
          <w:sz w:val="24"/>
          <w:szCs w:val="24"/>
          <w:lang w:eastAsia="hr-HR"/>
        </w:rPr>
        <w:t xml:space="preserve">PRAVILNIK </w:t>
      </w:r>
    </w:p>
    <w:p w14:paraId="63ADE370" w14:textId="77777777" w:rsidR="008B6F59" w:rsidRDefault="008B6F59" w:rsidP="008B6F59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AA7E0E">
        <w:rPr>
          <w:rFonts w:ascii="Times New Roman" w:hAnsi="Times New Roman" w:cs="Times New Roman"/>
          <w:sz w:val="24"/>
          <w:szCs w:val="24"/>
          <w:lang w:eastAsia="hr-HR"/>
        </w:rPr>
        <w:t>O MJERILIMA I NAČINU KORIŠTENJA NENAMJENSKIH DONACIJA I VLASTITIH PRIHODA</w:t>
      </w:r>
    </w:p>
    <w:p w14:paraId="09BCD1DA" w14:textId="77777777" w:rsidR="008B6F59" w:rsidRPr="00AA7E0E" w:rsidRDefault="008B6F59" w:rsidP="008B6F59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0FB194E" w14:textId="77777777" w:rsidR="008B6F59" w:rsidRPr="00387C2B" w:rsidRDefault="008B6F59" w:rsidP="008B6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I. OPĆE ODREDBE</w:t>
      </w:r>
    </w:p>
    <w:p w14:paraId="5C06821A" w14:textId="77777777" w:rsidR="008B6F59" w:rsidRPr="00387C2B" w:rsidRDefault="008B6F59" w:rsidP="008B6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1.</w:t>
      </w:r>
    </w:p>
    <w:p w14:paraId="00BA0534" w14:textId="0D85FBD8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Ovim Pravilnikom uređuju se mjerila i način korištenja nenamjenskih donacija i vlastitih prihoda proračunskih korisnika iz nadležnosti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ustanove Virovi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B6642A0" w14:textId="77777777" w:rsidR="008B6F59" w:rsidRPr="00387C2B" w:rsidRDefault="008B6F59" w:rsidP="008B6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2.</w:t>
      </w:r>
    </w:p>
    <w:p w14:paraId="1D16F0CF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(1) Nenamjenske donacije, u smislu ovoga Pravilnika, su prihodi ostvareni od fizičkih osoba, neprofitnih organizacija, trgovačkih društava i ostalih subjekata izvan općeg proračuna bez bilo kakve naknade ili protučinidbe, a kojima namjena nije utvrđena.</w:t>
      </w:r>
    </w:p>
    <w:p w14:paraId="1420FDCF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(2) Vlastiti prihodi proračunskih korisnika iz članka 1. ovoga Pravilnika su prihodi koje korisnici ostvaruju obavljanjem poslova na tržištu i u tržišnim uvjetima, a koje poslove mogu obavljati i drugi subjekti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50B5A20D" w14:textId="77777777" w:rsidR="008B6F59" w:rsidRPr="00387C2B" w:rsidRDefault="008B6F59" w:rsidP="008B6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II. POSTUPANJE KOD NENAMJENSKIH DONACIJA I NAČIN KORIŠTENJA NENAMJENSKIH DONACIJA</w:t>
      </w:r>
    </w:p>
    <w:p w14:paraId="63169ADF" w14:textId="77777777" w:rsidR="008B6F59" w:rsidRPr="00387C2B" w:rsidRDefault="008B6F59" w:rsidP="008B6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3.</w:t>
      </w:r>
    </w:p>
    <w:p w14:paraId="75404828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(1) Najava nenamjenskih donacija od strane donatora počinje upućivanjem pisma namjere čelniku proračunskog korisnika o vrsti i vrijednosti donacije.</w:t>
      </w:r>
    </w:p>
    <w:p w14:paraId="3E1D1CFE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(2) Upravljačko tijelo proračunskog korisnika, na prijedlog čelnika, donosi odluku o prihvaćanju ili neprihvaćanju nenamjenske donacije te o načinu korištenja prihvaćene donacije.</w:t>
      </w:r>
    </w:p>
    <w:p w14:paraId="7DEE1CDA" w14:textId="205C0741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(3) Ukoliko je vrijednost nenamjenske donacije veća od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10.000,00 eura </w:t>
      </w: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odluka o prihvaćanju i načinu korištenja donacije može se donijeti tek po dobivenoj suglasnosti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ravnatelja ustanove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32D5DC92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(4) Čelnik proračunskog korisnika pisanim putem izvješćuje donatora o prihvaćanju/neprihvaćanju donacije.</w:t>
      </w:r>
    </w:p>
    <w:p w14:paraId="517B8CCD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(5) U slučaju donošenja odluke o prihvaćanju i načinu korištenja donacije, čelnik proračunskog korisnika i donator sklapaju ugovor o donaciji.</w:t>
      </w:r>
    </w:p>
    <w:p w14:paraId="0BD5846B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(6) Ugovor o donaciji iz stavka 5. ovog članka se ne sklapa ako je donator fizička osoba.</w:t>
      </w:r>
    </w:p>
    <w:p w14:paraId="1945BE96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(7) Proračunski korisnik, koji je primio nenamjensku donaciju, dužan je na svojoj mrežnoj stranici, na lako dostupan i pretraživ način i u strojno čitljivom obliku, objaviti informacije o primljenoj nenamjenskoj donaciji (podaci o donatoru, vrsti i vrijednosti donacije).</w:t>
      </w:r>
    </w:p>
    <w:p w14:paraId="23AD3F6F" w14:textId="77777777" w:rsidR="008B6F59" w:rsidRPr="00387C2B" w:rsidRDefault="008B6F59" w:rsidP="008B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(8) Dobivene donacije ne mogu se koristiti za sponzorstva i donacije.</w:t>
      </w:r>
    </w:p>
    <w:p w14:paraId="48674EFB" w14:textId="1E3190CF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(9) Stjecanje nefinancijske dugotrajne imovine bez naknade (sredstvima nenamjenske financijske donacije ili donacije nefinancijske dugotrajne imovine u fizičkom obliku), ako bi takvo stjecanje prouzročilo značajnije troškove za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ustanovu Virovi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moguće je samo uz prethodnu suglasnost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ravnatelja ustanove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3E4DBBDD" w14:textId="77777777" w:rsidR="008B6F59" w:rsidRPr="00387C2B" w:rsidRDefault="008B6F59" w:rsidP="008B6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III. NAČIN KORIŠTENJA VLASTITIH PRIHODA</w:t>
      </w:r>
    </w:p>
    <w:p w14:paraId="472CEE78" w14:textId="77777777" w:rsidR="008B6F59" w:rsidRPr="00387C2B" w:rsidRDefault="008B6F59" w:rsidP="008B6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4.</w:t>
      </w:r>
    </w:p>
    <w:p w14:paraId="21C53BA0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(1) Vlastiti prihodi iz članka 2. stavka 2. ovoga Pravilnika koriste se za:</w:t>
      </w:r>
    </w:p>
    <w:p w14:paraId="268D2E49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– podmirenje rashoda nastalih obavljanjem poslova iz kojih su ostvareni</w:t>
      </w:r>
    </w:p>
    <w:p w14:paraId="11357319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– podmirenje obveza po ugovorima o dugoročnim zajmovima i kreditima, a koje su proračunski korisnici sklopili sukladno odredbama članka 1</w:t>
      </w:r>
      <w:r w:rsidRPr="00AA7E0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27</w:t>
      </w: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Zakona o proračunu</w:t>
      </w:r>
    </w:p>
    <w:p w14:paraId="4A8D51FC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– podmirenje neprihvatljivih troškova u projektima koji su financirani sredstvima Europske unije, a koja su dužni uplatiti u proračun Europske unije na temelju zahtjeva za uplatu nadležnih tijela Europske unije.</w:t>
      </w:r>
    </w:p>
    <w:p w14:paraId="2A8F0A76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(2) Nakon podmirenja rashoda iz stavka 1. ovog članka, preostali prihodi mogu se koristiti za:</w:t>
      </w:r>
    </w:p>
    <w:p w14:paraId="4C912982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– podmirivanje rashoda za razvoj svoje djelatnosti</w:t>
      </w:r>
    </w:p>
    <w:p w14:paraId="77F2357E" w14:textId="77777777" w:rsidR="008B6F59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– podmirenje ostalih rashoda redovne djelatnosti.</w:t>
      </w:r>
    </w:p>
    <w:p w14:paraId="3319EBF4" w14:textId="77777777" w:rsidR="008B6F59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5C76676" w14:textId="77777777" w:rsidR="008B6F59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A1B0F18" w14:textId="77777777" w:rsidR="008B6F59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A41BD2E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1FB17BD" w14:textId="77777777" w:rsidR="008B6F59" w:rsidRDefault="008B6F59" w:rsidP="008B6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IV. PRAĆENJE, EVIDENTIRANJE I IZVJEŠĆIVANJE O NENAMJENSKIM DONACIJAMA I VLASTITIM PRIHODIMA</w:t>
      </w:r>
    </w:p>
    <w:p w14:paraId="38CA75F7" w14:textId="77777777" w:rsidR="008B6F59" w:rsidRPr="00387C2B" w:rsidRDefault="008B6F59" w:rsidP="008B6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A1C696F" w14:textId="77777777" w:rsidR="008B6F59" w:rsidRPr="00387C2B" w:rsidRDefault="008B6F59" w:rsidP="008B6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5.</w:t>
      </w:r>
    </w:p>
    <w:p w14:paraId="3F05A5F6" w14:textId="3891A00D" w:rsidR="008B6F59" w:rsidRPr="00387C2B" w:rsidRDefault="008B6F59" w:rsidP="008B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(1) Ustrojstven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 jedinica za financije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ostvarenje i trošenje nenamjenskih donacija i vlastitih prihoda proračunskih korisnika iz svoje nadležnosti.</w:t>
      </w:r>
    </w:p>
    <w:p w14:paraId="56BC91A7" w14:textId="41F034E9" w:rsidR="008B6F59" w:rsidRPr="00387C2B" w:rsidRDefault="008B6F59" w:rsidP="008B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(2) Proračunski korisnici koji ostvaruju nenamjenske donacije i vlastite prihode podnose nadležnoj ustrojstvenoj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ustanove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polugodišnje i godišnje izvješće o ostvarenju i korištenju nenamjenskih donacija i vlastitih prihoda.</w:t>
      </w:r>
    </w:p>
    <w:p w14:paraId="1B2C91DB" w14:textId="77777777" w:rsidR="008B6F59" w:rsidRPr="00387C2B" w:rsidRDefault="008B6F59" w:rsidP="008B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(3) Rok za dostavu polugodišnjeg izvješća je 31. srpnja tekuće godine, a godišnjeg 7. veljače tekuće godine za prethodnu godinu.</w:t>
      </w:r>
    </w:p>
    <w:p w14:paraId="17E43E66" w14:textId="77777777" w:rsidR="008B6F59" w:rsidRDefault="008B6F59" w:rsidP="008B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(4) Proračunski korisnici koji ostvaruju nenamjenske donacije i vlastite prihode dužni su ih evidentirati sukladno propisima kojima je uređeno proračunsko računovodstvo.</w:t>
      </w:r>
    </w:p>
    <w:p w14:paraId="2A3A9F9B" w14:textId="77777777" w:rsidR="008B6F59" w:rsidRPr="00387C2B" w:rsidRDefault="008B6F59" w:rsidP="008B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609BAE7" w14:textId="77777777" w:rsidR="008B6F59" w:rsidRPr="00387C2B" w:rsidRDefault="008B6F59" w:rsidP="008B6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V. ZAVRŠNE ODREDBE</w:t>
      </w:r>
    </w:p>
    <w:p w14:paraId="5E53EF3B" w14:textId="77777777" w:rsidR="008B6F59" w:rsidRPr="00387C2B" w:rsidRDefault="008B6F59" w:rsidP="008B6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6.</w:t>
      </w:r>
    </w:p>
    <w:p w14:paraId="550D96EE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(1) Upravljačko tijelo proračunskog korisnika koji ostvaruje nenamjenske donacije i vlastite prihode, u roku od 30 dana od stupanja na snagu ovog Pravilnika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donosi odluku kojom se uređuje ostvarivanje i korištenje nenamjenskih donacija i vlastitih prihoda.</w:t>
      </w:r>
    </w:p>
    <w:p w14:paraId="056402E7" w14:textId="77777777" w:rsidR="008B6F59" w:rsidRPr="00387C2B" w:rsidRDefault="008B6F59" w:rsidP="008B6F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(2) Upravljačko tijelo proračunskog korisnika koji ostvaruje samo jedan od navedenih prihoda, donosi odluku o ostvarivanju i korištenju te vrste prihoda.</w:t>
      </w:r>
    </w:p>
    <w:p w14:paraId="68D0149C" w14:textId="77777777" w:rsidR="008B6F59" w:rsidRPr="00387C2B" w:rsidRDefault="008B6F59" w:rsidP="008B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(3) Odluka upravljačkog tijela proračunskog korisnika mora biti u skladu s ovim Pravilnikom.</w:t>
      </w:r>
    </w:p>
    <w:p w14:paraId="11B38376" w14:textId="77777777" w:rsidR="008B6F59" w:rsidRPr="00387C2B" w:rsidRDefault="008B6F59" w:rsidP="008B6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7.</w:t>
      </w:r>
    </w:p>
    <w:p w14:paraId="2EC6F0BA" w14:textId="5F1D338B" w:rsidR="008B6F59" w:rsidRDefault="008B6F59" w:rsidP="008B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87C2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Ovaj Pravilnik stupa na snagu osmoga dana od objave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oglasnoj ploči sjedišta ustanove Virovi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210DE584" w14:textId="77777777" w:rsidR="008B6F59" w:rsidRDefault="008B6F59" w:rsidP="008B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D2AB98B" w14:textId="77777777" w:rsidR="008B6F59" w:rsidRDefault="008B6F59" w:rsidP="008B6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BD7881B" w14:textId="3E96A7E0" w:rsidR="008B6F59" w:rsidRDefault="008B6F59" w:rsidP="008B6F5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lang w:eastAsia="hr-HR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V.D. Ravnatelja </w:t>
      </w:r>
    </w:p>
    <w:p w14:paraId="5778F5DB" w14:textId="312A0A1E" w:rsidR="008B6F59" w:rsidRDefault="008B6F59" w:rsidP="008B6F5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Jelena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Ukić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, mag.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14:paraId="19777E0A" w14:textId="77777777" w:rsidR="008B6F59" w:rsidRDefault="008B6F59" w:rsidP="008B6F5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3729B0B" w14:textId="77777777" w:rsidR="008B6F59" w:rsidRDefault="008B6F59" w:rsidP="008B6F5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BA4A5B3" w14:textId="21879F36" w:rsidR="008B6F59" w:rsidRPr="00AA7E0E" w:rsidRDefault="008B6F59" w:rsidP="008B6F5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  <w:t>_________________________</w:t>
      </w:r>
    </w:p>
    <w:p w14:paraId="33603BFB" w14:textId="77777777" w:rsidR="008B6F59" w:rsidRDefault="008B6F59"/>
    <w:sectPr w:rsidR="008B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59"/>
    <w:rsid w:val="008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E144"/>
  <w15:chartTrackingRefBased/>
  <w15:docId w15:val="{6CF9557E-4694-4ADC-8013-1DBF3E66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F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6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2023-10-11T08:15:00Z</dcterms:created>
  <dcterms:modified xsi:type="dcterms:W3CDTF">2023-10-11T08:24:00Z</dcterms:modified>
</cp:coreProperties>
</file>